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信宜市中医院麻醉工作站采购项目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广东明正项目管理有限公司受信宜市中医院的委托，现就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信宜市中医院麻醉工作站采购项目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进行磋商采购，现将本次磋商的有关事项公告如下：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：信宜市中医院麻醉工作站采购项目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项目编号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：MZXY21-00134ACS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采购需求</w:t>
      </w:r>
    </w:p>
    <w:tbl>
      <w:tblPr>
        <w:tblStyle w:val="9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40"/>
        <w:gridCol w:w="1155"/>
        <w:gridCol w:w="220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采购预算金额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麻醉工作站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2套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详见磋商文件技术参数要求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820000.00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采购需求的详细内容及技术参数要求，详见磋商文件“第二部分 采购项目内容”。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申请人的资格要求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投标供应商应具备《政府采购法》第二十二条规定的条件，提供下列材料：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具有独立承担民事责任的能力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</w:rPr>
        <w:t>提供最新的营业执照（或事业单位法人证书，或社会团体法人登记证书，或执业许可证）副本复印件；若以不具有独立承担民事责任能力的分支机构投标，须取得具有法人资格的总公司的授权书，并提供总公司营业执照副本复印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具有良好的商业信誉和健全的财务会计制度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</w:rPr>
        <w:t>提供2020年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或2021年</w:t>
      </w:r>
      <w:r>
        <w:rPr>
          <w:rFonts w:hint="eastAsia" w:ascii="仿宋" w:hAnsi="仿宋" w:eastAsia="仿宋" w:cs="仿宋"/>
          <w:sz w:val="28"/>
          <w:szCs w:val="28"/>
        </w:rPr>
        <w:t>财务报表复印件或银行出具的资信证明材料复印件（如投标人新成立的，则提供成立时间后任意1个月或季度财务报表或银行出具的资信证明材料复印件）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具有履行合同所必需的设备和专业技术能力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提供承诺函；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依法缴纳税收和社会保障资金的良好记录：</w:t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提供2022年以来任意1个月的的依法缴纳税收的证明（如纳税凭证）复印件，如依法免税的，应提供相应文件证明其依法免税（其中税种不能为社会保险基金）；如为新公司成立，提供相关证明文件 ②提供2022年以来任意1个月的的依法缴纳社会保险的证明（如缴费凭证）复印件，如依法不需要缴纳社会保障资金的，应提供相应文件证明其依法不需要缴纳社会保障资金；如为新公司成立，提供相关证明文件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参加政府采购活动前三年内，在经营活动中没有重大违法记录（提供承诺函，格式自拟）；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本项目的特定资格要求：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要具有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有效的《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医疗器械生产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许可证》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《医疗器械经营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许可证》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投标人应提供自本项目招标公告发布之日起在信用中国（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HYPERLINK "http://www.creditchina.gov.cn/"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www.creditchina.gov.cn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t>）“信用信息”、中国政府采购网（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HYPERLINK "http://www.ccgp.gov.cn/"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www.ccgp.gov.cn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t>）“政府采购严重违法失信行为信息记录”查询情况证明（提供两个网站的信用记录查询结果打印页面或全部内容的网页截图），如有被列入失信被执行人、重大税收违法案件当事人名单、政府采购严重违法失信行为记录名单的投标人，不得参与本次政府采购活动，否则在查核后将被拒绝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4.单位负责人为同一人或者存在直接控股、管理关系的不同供应商，不得参加同一合同项下的政府采购活动（提供承诺函）。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5.本项目只接受已依法购买获取磋商文件的投标人投标。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获取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文件方式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 07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日起至202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上午9时30分至12时00分，下午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0分至17时00分止（法定节假日除外）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广东明正项目管理有限公司</w:t>
      </w:r>
      <w:r>
        <w:rPr>
          <w:rFonts w:hint="eastAsia" w:ascii="仿宋" w:hAnsi="仿宋" w:eastAsia="仿宋" w:cs="仿宋"/>
          <w:bCs/>
          <w:sz w:val="28"/>
          <w:szCs w:val="28"/>
        </w:rPr>
        <w:t>（详细地址：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信宜市新里一路75号之二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获取方式：现场获取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售价：300元/本，售后不退。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六</w:t>
      </w:r>
      <w:r>
        <w:rPr>
          <w:rStyle w:val="11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、响应文件提交</w:t>
      </w:r>
      <w:r>
        <w:rPr>
          <w:rStyle w:val="11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时间</w:t>
      </w:r>
    </w:p>
    <w:p>
      <w:pPr>
        <w:pStyle w:val="5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截止时间：202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 xml:space="preserve"> 08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 xml:space="preserve">03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09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时30分00秒（北京时间）</w:t>
      </w:r>
    </w:p>
    <w:p>
      <w:pPr>
        <w:pStyle w:val="5"/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广东明正项目管理有限公司（信宜市新里一路75号之一四楼开标室）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七</w:t>
      </w:r>
      <w:r>
        <w:rPr>
          <w:rStyle w:val="11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、开启</w:t>
      </w:r>
    </w:p>
    <w:p>
      <w:pPr>
        <w:pStyle w:val="5"/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时间：202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 xml:space="preserve"> 08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 xml:space="preserve"> 03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 xml:space="preserve">日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09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时30分00秒（北京时间）</w:t>
      </w:r>
    </w:p>
    <w:p>
      <w:pPr>
        <w:pStyle w:val="5"/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560" w:firstLineChars="20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广东明正项目管理有限公司（信宜市新里一路7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5号之一四楼开标室）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八</w:t>
      </w:r>
      <w:r>
        <w:rPr>
          <w:rStyle w:val="11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、公告期限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自本公告发布之日起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个工作日。</w:t>
      </w:r>
    </w:p>
    <w:p>
      <w:pPr>
        <w:pStyle w:val="6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九、其他补充事宜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投标申请人购买采购文件需向采购代理机构提供以下资料：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营业执照副本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要具有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监督管理部门签发的有效的《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医疗器械生产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许可证》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《医疗器械经营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许可证》复印件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法定代表人身份证明书，法定代表人授权委托书及授权人身份证复印件。</w:t>
      </w:r>
    </w:p>
    <w:p>
      <w:pPr>
        <w:pStyle w:val="6"/>
        <w:ind w:left="0" w:leftChars="0" w:firstLine="635" w:firstLineChars="227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以上资料一式两份加盖公章，装订成册。购买磋商文件时交采购代理机构。</w:t>
      </w:r>
    </w:p>
    <w:p>
      <w:pPr>
        <w:pStyle w:val="6"/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十、对本次磋商提出询问，请按以下方式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信宜市中医院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地址：信宜市竹园路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采购人联系人：高小姐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联系方式：18998568299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广东明正项目管理有限公司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信宜市新里一路75号之一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0668-8883918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邝小姐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联系电话：18125019263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广东明正项目管理有限公司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11" w:h="16838"/>
          <w:pgMar w:top="1440" w:right="1803" w:bottom="1440" w:left="1803" w:header="856" w:footer="850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2022年07月22日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4AFEA6"/>
    <w:multiLevelType w:val="singleLevel"/>
    <w:tmpl w:val="BF4AFE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7678F8"/>
    <w:multiLevelType w:val="singleLevel"/>
    <w:tmpl w:val="D17678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F856A4C"/>
    <w:multiLevelType w:val="singleLevel"/>
    <w:tmpl w:val="EF856A4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E98E1CE"/>
    <w:multiLevelType w:val="singleLevel"/>
    <w:tmpl w:val="0E98E1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EEF7344"/>
    <w:multiLevelType w:val="singleLevel"/>
    <w:tmpl w:val="0EEF734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6EB1056"/>
    <w:multiLevelType w:val="singleLevel"/>
    <w:tmpl w:val="16EB105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C1A4E8C"/>
    <w:multiLevelType w:val="singleLevel"/>
    <w:tmpl w:val="1C1A4E8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527D5642"/>
    <w:multiLevelType w:val="singleLevel"/>
    <w:tmpl w:val="527D564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C7FE0"/>
    <w:rsid w:val="283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ody Text Indent"/>
    <w:basedOn w:val="1"/>
    <w:next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7"/>
    <w:qFormat/>
    <w:uiPriority w:val="0"/>
    <w:pPr>
      <w:spacing w:line="360" w:lineRule="auto"/>
      <w:ind w:left="200" w:firstLine="200" w:firstLineChars="200"/>
    </w:pPr>
    <w:rPr>
      <w:rFonts w:ascii="Times New Roman" w:hAnsi="Times New Roman" w:eastAsia="宋体" w:cs="Times New Roman"/>
    </w:rPr>
  </w:style>
  <w:style w:type="paragraph" w:customStyle="1" w:styleId="7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2022-07-22T01:46:00Z</dcterms:created>
  <dc:creator>漂于人世</dc:creator>
  <cp:lastModifiedBy>漂于人世</cp:lastModifiedBy>
  <dcterms:modified xsi:type="dcterms:W3CDTF">2022-07-22T01:57:42Z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