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信宜市人民医院血气、电解质分析仪采购项目</w:t>
      </w:r>
    </w:p>
    <w:p>
      <w:pPr>
        <w:pStyle w:val="2"/>
        <w:numPr>
          <w:ilvl w:val="0"/>
          <w:numId w:val="0"/>
        </w:numPr>
        <w:jc w:val="center"/>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竞争性磋商公告</w:t>
      </w:r>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信宜市人民医院血气、电解质分析仪采购项目的潜在投标人应在广东明正项目管理有限公司（信宜市新里一路75号之一三楼）获取采购文件，</w:t>
      </w:r>
      <w:r>
        <w:rPr>
          <w:rFonts w:hint="eastAsia" w:ascii="仿宋" w:hAnsi="仿宋" w:eastAsia="仿宋" w:cs="仿宋"/>
          <w:b w:val="0"/>
          <w:bCs w:val="0"/>
          <w:sz w:val="28"/>
          <w:szCs w:val="28"/>
          <w:highlight w:val="none"/>
          <w:lang w:val="en-US" w:eastAsia="zh-CN"/>
        </w:rPr>
        <w:t>并于2021年12月06 日 09点 30 分（北京时间）前递交投标文件。</w:t>
      </w:r>
    </w:p>
    <w:p>
      <w:pPr>
        <w:numPr>
          <w:ilvl w:val="0"/>
          <w:numId w:val="1"/>
        </w:numPr>
        <w:spacing w:line="360" w:lineRule="auto"/>
        <w:outlineLvl w:val="0"/>
        <w:rPr>
          <w:rFonts w:hint="eastAsia" w:ascii="仿宋" w:hAnsi="仿宋" w:eastAsia="仿宋" w:cs="仿宋"/>
          <w:b/>
          <w:bCs/>
          <w:sz w:val="28"/>
          <w:szCs w:val="28"/>
          <w:highlight w:val="none"/>
          <w:lang w:val="en-US" w:eastAsia="zh-CN"/>
        </w:rPr>
      </w:pPr>
      <w:bookmarkStart w:id="0" w:name="_Toc23288"/>
      <w:bookmarkStart w:id="1" w:name="_Toc15278"/>
      <w:bookmarkStart w:id="2" w:name="_Toc12827"/>
      <w:r>
        <w:rPr>
          <w:rFonts w:hint="eastAsia" w:ascii="仿宋" w:hAnsi="仿宋" w:eastAsia="仿宋" w:cs="仿宋"/>
          <w:b/>
          <w:bCs/>
          <w:sz w:val="28"/>
          <w:szCs w:val="28"/>
          <w:highlight w:val="none"/>
          <w:lang w:val="en-US" w:eastAsia="zh-CN"/>
        </w:rPr>
        <w:t>项目基本情况</w:t>
      </w:r>
      <w:bookmarkEnd w:id="0"/>
      <w:bookmarkEnd w:id="1"/>
      <w:bookmarkEnd w:id="2"/>
    </w:p>
    <w:p>
      <w:pPr>
        <w:pStyle w:val="2"/>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项目编号：MZXY21-00122ACS</w:t>
      </w: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项目名称：信宜市人民医院血气、电解质分析仪采购项目</w:t>
      </w:r>
    </w:p>
    <w:p>
      <w:pPr>
        <w:pStyle w:val="2"/>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预算金额：</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300000.00</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w:t>
      </w:r>
    </w:p>
    <w:tbl>
      <w:tblPr>
        <w:tblStyle w:val="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12"/>
        <w:gridCol w:w="1492"/>
        <w:gridCol w:w="186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9"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212"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标的名称</w:t>
            </w:r>
          </w:p>
        </w:tc>
        <w:tc>
          <w:tcPr>
            <w:tcW w:w="1492"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1860"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技术需求</w:t>
            </w:r>
          </w:p>
        </w:tc>
        <w:tc>
          <w:tcPr>
            <w:tcW w:w="2085"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预算采购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89"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bookmarkStart w:id="21" w:name="_GoBack"/>
            <w:bookmarkEnd w:id="21"/>
          </w:p>
        </w:tc>
        <w:tc>
          <w:tcPr>
            <w:tcW w:w="2212"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血气、电解质分析仪</w:t>
            </w:r>
          </w:p>
        </w:tc>
        <w:tc>
          <w:tcPr>
            <w:tcW w:w="1492"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1套</w:t>
            </w:r>
          </w:p>
        </w:tc>
        <w:tc>
          <w:tcPr>
            <w:tcW w:w="1860"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详见技术参数要求</w:t>
            </w:r>
          </w:p>
        </w:tc>
        <w:tc>
          <w:tcPr>
            <w:tcW w:w="2085" w:type="dxa"/>
            <w:vAlign w:val="center"/>
          </w:tcPr>
          <w:p>
            <w:pPr>
              <w:pStyle w:val="2"/>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￥300000.00</w:t>
            </w:r>
          </w:p>
        </w:tc>
      </w:tr>
    </w:tbl>
    <w:p>
      <w:pPr>
        <w:pStyle w:val="2"/>
        <w:spacing w:line="360" w:lineRule="auto"/>
        <w:rPr>
          <w:rFonts w:hint="default"/>
          <w:lang w:val="en-US" w:eastAsia="zh-CN"/>
        </w:rPr>
      </w:pP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合同履行期限：</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本项目不接受联合体投标。</w:t>
      </w:r>
    </w:p>
    <w:p>
      <w:pPr>
        <w:pStyle w:val="2"/>
        <w:numPr>
          <w:ilvl w:val="0"/>
          <w:numId w:val="0"/>
        </w:numPr>
        <w:spacing w:line="360" w:lineRule="auto"/>
        <w:outlineLvl w:val="0"/>
        <w:rPr>
          <w:rFonts w:hint="default" w:ascii="仿宋" w:hAnsi="仿宋" w:eastAsia="仿宋" w:cs="仿宋"/>
          <w:b/>
          <w:bCs/>
          <w:sz w:val="28"/>
          <w:szCs w:val="28"/>
          <w:lang w:val="en-US" w:eastAsia="zh-CN"/>
        </w:rPr>
      </w:pPr>
      <w:bookmarkStart w:id="3" w:name="_Toc29658"/>
      <w:bookmarkStart w:id="4" w:name="_Toc1798"/>
      <w:bookmarkStart w:id="5" w:name="_Toc2749"/>
      <w:r>
        <w:rPr>
          <w:rFonts w:hint="eastAsia" w:ascii="仿宋" w:hAnsi="仿宋" w:eastAsia="仿宋" w:cs="仿宋"/>
          <w:b/>
          <w:bCs/>
          <w:sz w:val="28"/>
          <w:szCs w:val="28"/>
          <w:lang w:val="en-US" w:eastAsia="zh-CN"/>
        </w:rPr>
        <w:t>二、投标人的资格要求</w:t>
      </w:r>
      <w:bookmarkEnd w:id="3"/>
      <w:bookmarkEnd w:id="4"/>
      <w:bookmarkEnd w:id="5"/>
    </w:p>
    <w:p>
      <w:pPr>
        <w:pStyle w:val="2"/>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1.满足《中华人民共和国政府采购法》第二十二条规定；</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000000"/>
          <w:spacing w:val="0"/>
          <w:sz w:val="28"/>
          <w:szCs w:val="28"/>
          <w:shd w:val="clear" w:fill="FFFFFF"/>
          <w:vertAlign w:val="baseline"/>
        </w:rPr>
      </w:pPr>
      <w:r>
        <w:rPr>
          <w:rFonts w:hint="eastAsia" w:ascii="仿宋" w:hAnsi="仿宋" w:eastAsia="仿宋" w:cs="仿宋"/>
          <w:i w:val="0"/>
          <w:caps w:val="0"/>
          <w:color w:val="000000"/>
          <w:spacing w:val="0"/>
          <w:sz w:val="28"/>
          <w:szCs w:val="28"/>
          <w:shd w:val="clear" w:fill="FFFFFF"/>
          <w:vertAlign w:val="baseli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vertAlign w:val="baseline"/>
        </w:rPr>
        <w:t>有依法缴纳税收和社会保障资金的良好记录：提供投标截止日前6个月内任意1个月依法缴纳税收和社会保障资金的相关材料。如依法免税或不需要缴纳社会保障资金的，提供相应证明材料。</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vertAlign w:val="baseline"/>
        </w:rPr>
        <w:t>具有良好的商业信誉和健全的财务会计制度：供应商必须具有良好的商业信誉和健全的财务会计制度（提供2020年度财务状况报告或基本开户行出具的资信证明</w:t>
      </w:r>
      <w:r>
        <w:rPr>
          <w:rFonts w:hint="eastAsia" w:ascii="仿宋" w:hAnsi="仿宋" w:eastAsia="仿宋" w:cs="仿宋"/>
          <w:i w:val="0"/>
          <w:caps w:val="0"/>
          <w:color w:val="000000"/>
          <w:spacing w:val="0"/>
          <w:sz w:val="28"/>
          <w:szCs w:val="28"/>
          <w:shd w:val="clear" w:fill="FFFFFF"/>
          <w:vertAlign w:val="baseline"/>
          <w:lang w:eastAsia="zh-CN"/>
        </w:rPr>
        <w:t>）</w:t>
      </w:r>
      <w:r>
        <w:rPr>
          <w:rFonts w:hint="eastAsia" w:ascii="仿宋" w:hAnsi="仿宋" w:eastAsia="仿宋" w:cs="仿宋"/>
          <w:i w:val="0"/>
          <w:caps w:val="0"/>
          <w:color w:val="000000"/>
          <w:spacing w:val="0"/>
          <w:sz w:val="28"/>
          <w:szCs w:val="28"/>
          <w:shd w:val="clear" w:fill="FFFFFF"/>
          <w:vertAlign w:val="baseline"/>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i w:val="0"/>
          <w:caps w:val="0"/>
          <w:color w:val="000000"/>
          <w:spacing w:val="0"/>
          <w:sz w:val="28"/>
          <w:szCs w:val="28"/>
        </w:rPr>
      </w:pPr>
      <w:r>
        <w:rPr>
          <w:rFonts w:hint="eastAsia" w:ascii="仿宋" w:hAnsi="仿宋" w:eastAsia="仿宋" w:cs="仿宋"/>
          <w:bCs/>
          <w:sz w:val="28"/>
          <w:szCs w:val="28"/>
        </w:rPr>
        <w:t>参加政府采购活动前三年内，在经营活动中没有重大违法记录（提供承诺函，格式自拟）；</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具有履行合同所必须的设备和专业技术能力（提供承诺函，</w:t>
      </w:r>
      <w:r>
        <w:rPr>
          <w:rFonts w:hint="eastAsia" w:ascii="仿宋" w:hAnsi="仿宋" w:eastAsia="仿宋" w:cs="仿宋"/>
          <w:bCs/>
          <w:sz w:val="28"/>
          <w:szCs w:val="28"/>
          <w:lang w:val="en-US" w:eastAsia="zh-CN"/>
        </w:rPr>
        <w:t>及证明材料</w:t>
      </w:r>
      <w:r>
        <w:rPr>
          <w:rFonts w:hint="eastAsia" w:ascii="仿宋" w:hAnsi="仿宋" w:eastAsia="仿宋" w:cs="仿宋"/>
          <w:bCs/>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法律、行政法规规定的其他条件。</w:t>
      </w:r>
    </w:p>
    <w:p>
      <w:pPr>
        <w:pStyle w:val="2"/>
        <w:numPr>
          <w:ilvl w:val="0"/>
          <w:numId w:val="0"/>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2.本项目的特定资格要求：</w:t>
      </w:r>
    </w:p>
    <w:p>
      <w:pPr>
        <w:pStyle w:val="2"/>
        <w:spacing w:line="360" w:lineRule="auto"/>
        <w:rPr>
          <w:rFonts w:hint="eastAsia" w:ascii="仿宋" w:hAnsi="仿宋" w:eastAsia="仿宋" w:cs="Times New Roman"/>
          <w:kern w:val="2"/>
          <w:sz w:val="28"/>
          <w:szCs w:val="28"/>
          <w:lang w:val="en-US" w:eastAsia="zh-CN" w:bidi="ar-SA"/>
        </w:rPr>
      </w:pPr>
      <w:r>
        <w:rPr>
          <w:rFonts w:hint="eastAsia" w:ascii="仿宋" w:hAnsi="仿宋" w:eastAsia="仿宋" w:cs="仿宋"/>
          <w:sz w:val="28"/>
          <w:szCs w:val="28"/>
          <w:lang w:val="en-US" w:eastAsia="zh-CN"/>
        </w:rPr>
        <w:t>投标人是制造商所投设备要具有《医疗器械注册证》和《医疗器械生产许可证》；投标人是供销商的所投设备要具有《二类医疗器械经营备案凭证》和</w:t>
      </w:r>
      <w:r>
        <w:rPr>
          <w:rFonts w:hint="eastAsia" w:ascii="仿宋" w:hAnsi="仿宋" w:eastAsia="仿宋" w:cs="Times New Roman"/>
          <w:kern w:val="2"/>
          <w:sz w:val="28"/>
          <w:szCs w:val="28"/>
          <w:lang w:val="en-US" w:eastAsia="zh-CN" w:bidi="ar-SA"/>
        </w:rPr>
        <w:t>《医疗器械经营许可证》。</w:t>
      </w:r>
    </w:p>
    <w:p>
      <w:pPr>
        <w:pStyle w:val="2"/>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未被列入“信用中国”网站(www.creditchina.gov.cn)以下任何记录名单：①失信被执行人；②重大税收违法案件当事人名单；③政府采购严重违法失信行为。同时，不处于中国政府采购网(www.ccgp.gov.cn)“政府采购严重违法失信行为信息记录” 中的禁止参加政府采购活动期间。</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为采购项目提供整体设计、规范编制或者项目管理、监理、检测等服务的供应商，不得再参加该采购项目同一合同项下的其他采购活动。单位负责人为同一人或者存在直接控股、管理关系的不同供应商，不得参加同一合同项下的政府采购活动（</w:t>
      </w:r>
      <w:r>
        <w:rPr>
          <w:rFonts w:hint="eastAsia" w:ascii="仿宋" w:hAnsi="仿宋" w:eastAsia="仿宋" w:cs="仿宋"/>
          <w:spacing w:val="-9"/>
          <w:sz w:val="28"/>
          <w:szCs w:val="28"/>
        </w:rPr>
        <w:t>提供</w:t>
      </w:r>
      <w:r>
        <w:rPr>
          <w:rFonts w:hint="eastAsia" w:ascii="仿宋" w:hAnsi="仿宋" w:eastAsia="仿宋" w:cs="仿宋"/>
          <w:spacing w:val="-9"/>
          <w:sz w:val="28"/>
          <w:szCs w:val="28"/>
          <w:lang w:val="en-US" w:eastAsia="zh-CN"/>
        </w:rPr>
        <w:t>承诺函</w:t>
      </w:r>
      <w:r>
        <w:rPr>
          <w:rFonts w:hint="eastAsia" w:ascii="仿宋" w:hAnsi="仿宋" w:eastAsia="仿宋" w:cs="仿宋"/>
          <w:sz w:val="28"/>
          <w:szCs w:val="28"/>
        </w:rPr>
        <w:t>）。</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before="0" w:after="0" w:line="360" w:lineRule="auto"/>
        <w:ind w:right="0" w:rightChars="0"/>
        <w:jc w:val="left"/>
        <w:textAlignment w:val="auto"/>
        <w:outlineLvl w:val="0"/>
        <w:rPr>
          <w:rFonts w:hint="eastAsia" w:ascii="仿宋" w:hAnsi="仿宋" w:eastAsia="仿宋" w:cs="仿宋"/>
          <w:b/>
          <w:bCs/>
          <w:sz w:val="28"/>
          <w:szCs w:val="28"/>
          <w:lang w:val="en-US" w:eastAsia="zh-CN"/>
        </w:rPr>
      </w:pPr>
      <w:bookmarkStart w:id="6" w:name="_Toc16646"/>
      <w:bookmarkStart w:id="7" w:name="_Toc880"/>
      <w:bookmarkStart w:id="8" w:name="_Toc298"/>
      <w:r>
        <w:rPr>
          <w:rFonts w:hint="eastAsia" w:ascii="仿宋" w:hAnsi="仿宋" w:eastAsia="仿宋" w:cs="仿宋"/>
          <w:b/>
          <w:bCs/>
          <w:sz w:val="28"/>
          <w:szCs w:val="28"/>
          <w:lang w:val="en-US" w:eastAsia="zh-CN"/>
        </w:rPr>
        <w:t>三、获取采购文件时间</w:t>
      </w:r>
      <w:bookmarkEnd w:id="6"/>
      <w:bookmarkEnd w:id="7"/>
      <w:bookmarkEnd w:id="8"/>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before="0" w:after="0" w:line="360" w:lineRule="auto"/>
        <w:ind w:right="0" w:righ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时间：2021年11月 25 日至2021年12月 01 日，每天上午09：00至11：30，下午15：00至17：30（北京时间，法定节假日除外）。</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before="0" w:after="0" w:line="360" w:lineRule="auto"/>
        <w:ind w:right="0" w:rightChars="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地点：广东明正项目管理有限公司（信宜市新里一路75号之二三楼）</w:t>
      </w:r>
    </w:p>
    <w:p>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zh-CN"/>
        </w:rPr>
      </w:pPr>
      <w:r>
        <w:rPr>
          <w:rFonts w:hint="eastAsia" w:ascii="仿宋" w:hAnsi="仿宋" w:eastAsia="仿宋" w:cs="仿宋"/>
          <w:kern w:val="2"/>
          <w:sz w:val="28"/>
          <w:szCs w:val="28"/>
          <w:lang w:val="en-US" w:eastAsia="zh-CN" w:bidi="zh-CN"/>
        </w:rPr>
        <w:t>方式：现场购买</w:t>
      </w:r>
    </w:p>
    <w:p>
      <w:pPr>
        <w:pStyle w:val="2"/>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zh-CN"/>
        </w:rPr>
      </w:pPr>
      <w:r>
        <w:rPr>
          <w:rFonts w:hint="eastAsia" w:ascii="仿宋" w:hAnsi="仿宋" w:eastAsia="仿宋" w:cs="仿宋"/>
          <w:kern w:val="2"/>
          <w:sz w:val="28"/>
          <w:szCs w:val="28"/>
          <w:lang w:val="en-US" w:eastAsia="zh-CN" w:bidi="zh-CN"/>
        </w:rPr>
        <w:t>售价：300元/本。</w:t>
      </w:r>
    </w:p>
    <w:p>
      <w:pPr>
        <w:numPr>
          <w:ilvl w:val="0"/>
          <w:numId w:val="0"/>
        </w:numPr>
        <w:spacing w:line="360" w:lineRule="auto"/>
        <w:outlineLvl w:val="0"/>
        <w:rPr>
          <w:rFonts w:hint="default"/>
          <w:sz w:val="28"/>
          <w:szCs w:val="28"/>
          <w:lang w:val="en-US" w:eastAsia="zh-CN"/>
        </w:rPr>
      </w:pPr>
      <w:bookmarkStart w:id="9" w:name="_Toc12882"/>
      <w:bookmarkStart w:id="10" w:name="_Toc30509"/>
      <w:bookmarkStart w:id="11" w:name="_Toc21222"/>
      <w:r>
        <w:rPr>
          <w:rFonts w:hint="eastAsia" w:ascii="仿宋" w:hAnsi="仿宋" w:eastAsia="仿宋" w:cs="仿宋"/>
          <w:b/>
          <w:bCs/>
          <w:kern w:val="2"/>
          <w:sz w:val="28"/>
          <w:szCs w:val="28"/>
          <w:lang w:val="en-US" w:eastAsia="zh-CN" w:bidi="zh-CN"/>
        </w:rPr>
        <w:t>四、提交投标文件截止时间、开标时间和地点</w:t>
      </w:r>
      <w:bookmarkEnd w:id="9"/>
      <w:bookmarkEnd w:id="10"/>
      <w:bookmarkEnd w:id="11"/>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仿宋" w:hAnsi="仿宋" w:eastAsia="仿宋" w:cs="仿宋"/>
          <w:b w:val="0"/>
          <w:bCs w:val="0"/>
          <w:kern w:val="2"/>
          <w:sz w:val="28"/>
          <w:szCs w:val="28"/>
          <w:lang w:val="en-US" w:eastAsia="zh-CN" w:bidi="zh-CN"/>
        </w:rPr>
        <w:t>投标文件截止时间：2021年12月06日09：30（北京时间）</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zh-CN"/>
        </w:rPr>
      </w:pPr>
      <w:r>
        <w:rPr>
          <w:rFonts w:hint="eastAsia" w:ascii="仿宋" w:hAnsi="仿宋" w:eastAsia="仿宋" w:cs="仿宋"/>
          <w:b w:val="0"/>
          <w:bCs w:val="0"/>
          <w:kern w:val="2"/>
          <w:sz w:val="28"/>
          <w:szCs w:val="28"/>
          <w:lang w:val="en-US" w:eastAsia="zh-CN" w:bidi="zh-CN"/>
        </w:rPr>
        <w:t>开标时间：2021年12月06日09：30分（北京时间）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zh-CN"/>
        </w:rPr>
      </w:pPr>
      <w:r>
        <w:rPr>
          <w:rFonts w:hint="eastAsia" w:ascii="仿宋" w:hAnsi="仿宋" w:eastAsia="仿宋" w:cs="仿宋"/>
          <w:b w:val="0"/>
          <w:bCs w:val="0"/>
          <w:kern w:val="2"/>
          <w:sz w:val="28"/>
          <w:szCs w:val="28"/>
          <w:lang w:val="en-US" w:eastAsia="zh-CN" w:bidi="zh-CN"/>
        </w:rPr>
        <w:t>开标地点：广东明正项目管理有限公司（信宜市新里一路75号之二四楼）。</w:t>
      </w:r>
    </w:p>
    <w:p>
      <w:pPr>
        <w:pStyle w:val="2"/>
        <w:numPr>
          <w:ilvl w:val="0"/>
          <w:numId w:val="0"/>
        </w:numPr>
        <w:spacing w:line="360" w:lineRule="auto"/>
        <w:ind w:leftChars="0"/>
        <w:outlineLvl w:val="0"/>
        <w:rPr>
          <w:rFonts w:hint="eastAsia" w:ascii="仿宋" w:hAnsi="仿宋" w:eastAsia="仿宋" w:cs="仿宋"/>
          <w:b/>
          <w:bCs/>
          <w:kern w:val="2"/>
          <w:sz w:val="28"/>
          <w:szCs w:val="28"/>
          <w:lang w:val="en-US" w:eastAsia="zh-CN" w:bidi="zh-CN"/>
        </w:rPr>
      </w:pPr>
      <w:bookmarkStart w:id="12" w:name="_Toc24364"/>
      <w:bookmarkStart w:id="13" w:name="_Toc25573"/>
      <w:bookmarkStart w:id="14" w:name="_Toc24806"/>
      <w:r>
        <w:rPr>
          <w:rFonts w:hint="eastAsia" w:ascii="仿宋" w:hAnsi="仿宋" w:eastAsia="仿宋" w:cs="仿宋"/>
          <w:b/>
          <w:bCs/>
          <w:kern w:val="2"/>
          <w:sz w:val="28"/>
          <w:szCs w:val="28"/>
          <w:lang w:val="en-US" w:eastAsia="zh-CN" w:bidi="zh-CN"/>
        </w:rPr>
        <w:t>五、公告期限</w:t>
      </w:r>
      <w:bookmarkEnd w:id="12"/>
      <w:bookmarkEnd w:id="13"/>
      <w:bookmarkEnd w:id="14"/>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zh-CN"/>
        </w:rPr>
      </w:pPr>
      <w:r>
        <w:rPr>
          <w:rFonts w:hint="eastAsia" w:ascii="仿宋" w:hAnsi="仿宋" w:eastAsia="仿宋" w:cs="仿宋"/>
          <w:b w:val="0"/>
          <w:bCs w:val="0"/>
          <w:kern w:val="2"/>
          <w:sz w:val="28"/>
          <w:szCs w:val="28"/>
          <w:lang w:val="en-US" w:eastAsia="zh-CN" w:bidi="zh-CN"/>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r>
        <w:rPr>
          <w:rFonts w:hint="eastAsia" w:ascii="仿宋" w:hAnsi="仿宋" w:eastAsia="仿宋" w:cs="仿宋"/>
          <w:b w:val="0"/>
          <w:bCs w:val="0"/>
          <w:sz w:val="28"/>
          <w:szCs w:val="28"/>
          <w:lang w:val="en-US" w:eastAsia="zh-CN"/>
        </w:rPr>
        <w:t>本项目的所有相关公告会在广东明正项目管理有限公司网站（www.zgzhmz.com）上发布，并视为有效送达，不再另行通知。</w:t>
      </w:r>
    </w:p>
    <w:p>
      <w:pPr>
        <w:numPr>
          <w:ilvl w:val="0"/>
          <w:numId w:val="3"/>
        </w:numPr>
        <w:spacing w:line="360" w:lineRule="auto"/>
        <w:outlineLvl w:val="0"/>
        <w:rPr>
          <w:rFonts w:hint="eastAsia" w:ascii="仿宋" w:hAnsi="仿宋" w:eastAsia="仿宋" w:cs="仿宋"/>
          <w:b/>
          <w:bCs/>
          <w:kern w:val="2"/>
          <w:sz w:val="28"/>
          <w:szCs w:val="28"/>
          <w:lang w:val="en-US" w:eastAsia="zh-CN" w:bidi="zh-CN"/>
        </w:rPr>
      </w:pPr>
      <w:bookmarkStart w:id="15" w:name="_Toc3999"/>
      <w:bookmarkStart w:id="16" w:name="_Toc14578"/>
      <w:bookmarkStart w:id="17" w:name="_Toc12319"/>
      <w:r>
        <w:rPr>
          <w:rFonts w:hint="eastAsia" w:ascii="仿宋" w:hAnsi="仿宋" w:eastAsia="仿宋" w:cs="仿宋"/>
          <w:b/>
          <w:bCs/>
          <w:kern w:val="2"/>
          <w:sz w:val="28"/>
          <w:szCs w:val="28"/>
          <w:lang w:val="en-US" w:eastAsia="zh-CN" w:bidi="zh-CN"/>
        </w:rPr>
        <w:t>其他补充事宜</w:t>
      </w:r>
      <w:bookmarkEnd w:id="15"/>
      <w:bookmarkEnd w:id="16"/>
      <w:bookmarkEnd w:id="17"/>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购买采购文件，请提供以下资料。</w:t>
      </w:r>
      <w:r>
        <w:rPr>
          <w:rFonts w:hint="eastAsia" w:ascii="仿宋" w:hAnsi="仿宋" w:eastAsia="仿宋" w:cs="仿宋"/>
          <w:b w:val="0"/>
          <w:bCs w:val="0"/>
          <w:kern w:val="2"/>
          <w:sz w:val="28"/>
          <w:szCs w:val="28"/>
          <w:lang w:val="en-US" w:eastAsia="zh-CN" w:bidi="ar-SA"/>
        </w:rPr>
        <w:t>采购代理机构对购买供应商提交的证件资料的核对，不代表其投标资格的确认。投标资格最终根据投标供应商投标文件中的资格审查资料作出的结论为准。</w:t>
      </w:r>
    </w:p>
    <w:p>
      <w:pPr>
        <w:pStyle w:val="5"/>
        <w:spacing w:line="360" w:lineRule="auto"/>
        <w:ind w:left="0" w:leftChars="0" w:firstLine="635" w:firstLineChars="227"/>
        <w:rPr>
          <w:rFonts w:hint="eastAsia" w:ascii="仿宋" w:hAnsi="仿宋" w:eastAsia="仿宋" w:cs="Times New Roman"/>
          <w:kern w:val="2"/>
          <w:sz w:val="28"/>
          <w:szCs w:val="28"/>
          <w:lang w:val="en-US" w:eastAsia="zh-CN" w:bidi="ar-SA"/>
        </w:rPr>
      </w:pPr>
      <w:r>
        <w:rPr>
          <w:rFonts w:hint="eastAsia" w:ascii="宋体" w:hAnsi="宋体" w:eastAsia="宋体" w:cs="宋体"/>
          <w:kern w:val="2"/>
          <w:sz w:val="28"/>
          <w:szCs w:val="28"/>
          <w:lang w:val="en-US" w:eastAsia="zh-CN" w:bidi="ar-SA"/>
        </w:rPr>
        <w:t>①</w:t>
      </w:r>
      <w:r>
        <w:rPr>
          <w:rFonts w:hint="eastAsia" w:ascii="仿宋" w:hAnsi="仿宋" w:eastAsia="仿宋" w:cs="Times New Roman"/>
          <w:kern w:val="2"/>
          <w:sz w:val="28"/>
          <w:szCs w:val="28"/>
          <w:lang w:val="en-US" w:eastAsia="zh-CN" w:bidi="ar-SA"/>
        </w:rPr>
        <w:t>法定代表人证明书和法定代表人授权委托书。若法人亲自购买的，只需法定代表人证明书及法人身份证原件核对，若授权代表购买的，需要法定代表人证明书和法定代表人授权委托书及授权人身份证原件核对。（法定代表人身份证明书和法定代表人授权书，需加盖公章）。</w:t>
      </w:r>
    </w:p>
    <w:p>
      <w:pPr>
        <w:pStyle w:val="5"/>
        <w:spacing w:line="360" w:lineRule="auto"/>
        <w:ind w:left="0" w:leftChars="0" w:firstLine="635" w:firstLineChars="227"/>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②</w:t>
      </w:r>
      <w:r>
        <w:rPr>
          <w:rFonts w:hint="eastAsia" w:ascii="仿宋" w:hAnsi="仿宋" w:eastAsia="仿宋" w:cs="Times New Roman"/>
          <w:kern w:val="2"/>
          <w:sz w:val="28"/>
          <w:szCs w:val="28"/>
          <w:lang w:val="en-US" w:eastAsia="zh-CN" w:bidi="ar-SA"/>
        </w:rPr>
        <w:t>营业执照副本复印件，加盖公章。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③投标人是制造商所投设备要具有《医疗器械注册证》和《医疗器械生产许可证》；投标人是供销商的所投设备要具有《二类医疗器械经营备案凭证》和《医疗器械经营许可证》。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注：以上资料一式两份，装订成册，购买采购文件时交采购代理机构。</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仿宋" w:hAnsi="仿宋" w:eastAsia="仿宋" w:cs="Times New Roman"/>
          <w:b/>
          <w:bCs/>
          <w:kern w:val="2"/>
          <w:sz w:val="28"/>
          <w:szCs w:val="28"/>
          <w:lang w:val="en-US" w:eastAsia="zh-CN" w:bidi="ar-SA"/>
        </w:rPr>
      </w:pPr>
      <w:bookmarkStart w:id="18" w:name="_Toc20410"/>
      <w:bookmarkStart w:id="19" w:name="_Toc11620"/>
      <w:bookmarkStart w:id="20" w:name="_Toc19948"/>
      <w:r>
        <w:rPr>
          <w:rFonts w:hint="eastAsia" w:ascii="仿宋" w:hAnsi="仿宋" w:eastAsia="仿宋" w:cs="Times New Roman"/>
          <w:b/>
          <w:bCs/>
          <w:kern w:val="2"/>
          <w:sz w:val="28"/>
          <w:szCs w:val="28"/>
          <w:lang w:val="en-US" w:eastAsia="zh-CN" w:bidi="ar-SA"/>
        </w:rPr>
        <w:t>对本次招标提出询问，请按以下方式</w:t>
      </w:r>
      <w:bookmarkEnd w:id="18"/>
      <w:bookmarkEnd w:id="19"/>
      <w:bookmarkEnd w:id="20"/>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采购人信息</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after="0" w:line="360" w:lineRule="auto"/>
        <w:ind w:leftChars="0" w:right="0" w:rightChars="0" w:firstLine="0" w:firstLineChars="0"/>
        <w:jc w:val="both"/>
        <w:textAlignment w:val="auto"/>
        <w:rPr>
          <w:rFonts w:hint="eastAsia" w:ascii="仿宋" w:hAnsi="仿宋" w:eastAsia="仿宋" w:cs="仿宋"/>
          <w:color w:val="2B2B2B"/>
          <w:sz w:val="28"/>
          <w:szCs w:val="28"/>
          <w:lang w:val="en-US" w:eastAsia="zh-CN"/>
        </w:rPr>
      </w:pPr>
      <w:r>
        <w:rPr>
          <w:rFonts w:hint="eastAsia" w:ascii="仿宋" w:hAnsi="仿宋" w:eastAsia="仿宋" w:cs="仿宋"/>
          <w:sz w:val="28"/>
          <w:szCs w:val="28"/>
          <w:lang w:val="en-US" w:eastAsia="zh-CN"/>
        </w:rPr>
        <w:t>名  称：</w:t>
      </w:r>
      <w:r>
        <w:rPr>
          <w:rFonts w:hint="eastAsia" w:ascii="仿宋" w:hAnsi="仿宋" w:eastAsia="仿宋" w:cs="仿宋"/>
          <w:color w:val="2B2B2B"/>
          <w:sz w:val="28"/>
          <w:szCs w:val="28"/>
          <w:lang w:val="en-US" w:eastAsia="zh-CN"/>
        </w:rPr>
        <w:t>信宜市人民医院</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after="0" w:line="360" w:lineRule="auto"/>
        <w:ind w:leftChars="0" w:right="0" w:righ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w:t>
      </w:r>
      <w:r>
        <w:rPr>
          <w:rFonts w:hint="eastAsia" w:ascii="仿宋" w:hAnsi="仿宋" w:eastAsia="仿宋" w:cs="仿宋"/>
          <w:color w:val="2B2B2B"/>
          <w:sz w:val="28"/>
          <w:szCs w:val="28"/>
          <w:lang w:val="en-US" w:eastAsia="zh-CN"/>
        </w:rPr>
        <w:t>茂名市信宜市银湖西路</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r>
        <w:rPr>
          <w:rFonts w:hint="eastAsia" w:ascii="仿宋" w:hAnsi="仿宋" w:eastAsia="仿宋" w:cs="仿宋"/>
          <w:sz w:val="28"/>
          <w:szCs w:val="28"/>
        </w:rPr>
        <w:t xml:space="preserve">0668-8880108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采购代理机构信息</w:t>
      </w:r>
    </w:p>
    <w:p>
      <w:pPr>
        <w:pStyle w:val="9"/>
        <w:keepNext w:val="0"/>
        <w:keepLines w:val="0"/>
        <w:pageBreakBefore w:val="0"/>
        <w:widowControl w:val="0"/>
        <w:numPr>
          <w:ilvl w:val="0"/>
          <w:numId w:val="0"/>
        </w:numPr>
        <w:tabs>
          <w:tab w:val="left" w:pos="1013"/>
        </w:tabs>
        <w:kinsoku/>
        <w:wordWrap/>
        <w:overflowPunct/>
        <w:topLinePunct w:val="0"/>
        <w:autoSpaceDE w:val="0"/>
        <w:autoSpaceDN w:val="0"/>
        <w:bidi w:val="0"/>
        <w:adjustRightInd/>
        <w:snapToGrid/>
        <w:spacing w:before="0" w:after="0" w:line="360" w:lineRule="auto"/>
        <w:ind w:right="0" w:righ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称：广东明正项目管理有限公司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w:t>
      </w:r>
      <w:r>
        <w:rPr>
          <w:rFonts w:hint="eastAsia" w:ascii="仿宋" w:hAnsi="仿宋" w:eastAsia="仿宋" w:cs="仿宋"/>
          <w:spacing w:val="-6"/>
          <w:sz w:val="28"/>
          <w:szCs w:val="28"/>
          <w:lang w:val="en-US" w:eastAsia="zh-CN"/>
        </w:rPr>
        <w:t>信宜市新里一路75号之一</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联系方式：0668-8883918</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项目联系人：邝小姐</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  话：0668-8883918</w:t>
      </w:r>
    </w:p>
    <w:p>
      <w:pPr>
        <w:pStyle w:val="2"/>
        <w:keepNext w:val="0"/>
        <w:keepLines w:val="0"/>
        <w:pageBreakBefore w:val="0"/>
        <w:widowControl w:val="0"/>
        <w:kinsoku/>
        <w:wordWrap/>
        <w:overflowPunct/>
        <w:topLinePunct w:val="0"/>
        <w:bidi w:val="0"/>
        <w:adjustRightInd/>
        <w:snapToGrid/>
        <w:spacing w:line="360" w:lineRule="auto"/>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广东明正项目管理有限公司</w:t>
      </w:r>
    </w:p>
    <w:p>
      <w:pPr>
        <w:spacing w:line="360" w:lineRule="auto"/>
        <w:jc w:val="right"/>
      </w:pPr>
      <w:r>
        <w:rPr>
          <w:rFonts w:hint="eastAsia" w:ascii="仿宋" w:hAnsi="仿宋" w:eastAsia="仿宋" w:cs="仿宋"/>
          <w:sz w:val="28"/>
          <w:szCs w:val="28"/>
          <w:lang w:val="en-US" w:eastAsia="zh-CN"/>
        </w:rPr>
        <w:t>2021年11月24日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9C5FE"/>
    <w:multiLevelType w:val="singleLevel"/>
    <w:tmpl w:val="B2B9C5FE"/>
    <w:lvl w:ilvl="0" w:tentative="0">
      <w:start w:val="1"/>
      <w:numFmt w:val="chineseCounting"/>
      <w:suff w:val="nothing"/>
      <w:lvlText w:val="%1、"/>
      <w:lvlJc w:val="left"/>
      <w:rPr>
        <w:rFonts w:hint="eastAsia"/>
      </w:rPr>
    </w:lvl>
  </w:abstractNum>
  <w:abstractNum w:abstractNumId="1">
    <w:nsid w:val="348B4918"/>
    <w:multiLevelType w:val="singleLevel"/>
    <w:tmpl w:val="348B4918"/>
    <w:lvl w:ilvl="0" w:tentative="0">
      <w:start w:val="6"/>
      <w:numFmt w:val="chineseCounting"/>
      <w:suff w:val="nothing"/>
      <w:lvlText w:val="%1、"/>
      <w:lvlJc w:val="left"/>
      <w:rPr>
        <w:rFonts w:hint="eastAsia"/>
      </w:rPr>
    </w:lvl>
  </w:abstractNum>
  <w:abstractNum w:abstractNumId="2">
    <w:nsid w:val="3CCDC586"/>
    <w:multiLevelType w:val="singleLevel"/>
    <w:tmpl w:val="3CCDC586"/>
    <w:lvl w:ilvl="0" w:tentative="0">
      <w:start w:val="1"/>
      <w:numFmt w:val="decimal"/>
      <w:lvlText w:val="(%1)"/>
      <w:lvlJc w:val="left"/>
      <w:pPr>
        <w:ind w:left="425" w:hanging="425"/>
      </w:pPr>
      <w:rPr>
        <w:rFonts w:hint="default"/>
      </w:rPr>
    </w:lvl>
  </w:abstractNum>
  <w:abstractNum w:abstractNumId="3">
    <w:nsid w:val="56C674A5"/>
    <w:multiLevelType w:val="singleLevel"/>
    <w:tmpl w:val="56C674A5"/>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75BEB"/>
    <w:rsid w:val="0527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Body Text Indent"/>
    <w:basedOn w:val="1"/>
    <w:next w:val="1"/>
    <w:qFormat/>
    <w:uiPriority w:val="0"/>
    <w:pPr>
      <w:spacing w:after="120" w:afterLines="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spacing w:line="360" w:lineRule="auto"/>
      <w:ind w:left="200" w:firstLine="200" w:firstLineChars="200"/>
    </w:pPr>
    <w:rPr>
      <w:rFonts w:ascii="Times New Roman" w:hAnsi="Times New Roman"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1"/>
    <w:pPr>
      <w:ind w:left="1161" w:hanging="56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2021-11-24T06:50:00Z</dcterms:created>
  <dc:creator>漂于人世</dc:creator>
  <cp:lastModifiedBy>漂于人世</cp:lastModifiedBy>
  <dcterms:modified xsi:type="dcterms:W3CDTF">2021-11-24T07:00:42Z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